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9C3" w:rsidRPr="002D3409" w:rsidRDefault="002D3409" w:rsidP="00A439C3">
      <w:pPr>
        <w:suppressAutoHyphens/>
        <w:ind w:firstLine="708"/>
        <w:jc w:val="both"/>
        <w:rPr>
          <w:rFonts w:cstheme="minorHAnsi"/>
          <w:b/>
          <w:color w:val="002060"/>
          <w:sz w:val="32"/>
          <w:szCs w:val="32"/>
        </w:rPr>
      </w:pPr>
      <w:r w:rsidRPr="002D3409">
        <w:rPr>
          <w:rFonts w:cstheme="minorHAnsi"/>
          <w:b/>
          <w:color w:val="002060"/>
          <w:sz w:val="32"/>
          <w:szCs w:val="32"/>
        </w:rPr>
        <w:t xml:space="preserve">«Антимонопольный </w:t>
      </w:r>
      <w:proofErr w:type="spellStart"/>
      <w:r w:rsidRPr="002D3409">
        <w:rPr>
          <w:rFonts w:cstheme="minorHAnsi"/>
          <w:b/>
          <w:color w:val="002060"/>
          <w:sz w:val="32"/>
          <w:szCs w:val="32"/>
        </w:rPr>
        <w:t>комплаенс</w:t>
      </w:r>
      <w:proofErr w:type="spellEnd"/>
      <w:r w:rsidRPr="002D3409">
        <w:rPr>
          <w:rFonts w:cstheme="minorHAnsi"/>
          <w:b/>
          <w:color w:val="002060"/>
          <w:sz w:val="32"/>
          <w:szCs w:val="32"/>
        </w:rPr>
        <w:t>»</w:t>
      </w:r>
    </w:p>
    <w:p w:rsidR="00A439C3" w:rsidRDefault="00A439C3" w:rsidP="00786CB1">
      <w:pPr>
        <w:suppressAutoHyphens/>
        <w:ind w:firstLine="708"/>
        <w:jc w:val="center"/>
        <w:rPr>
          <w:rFonts w:cstheme="minorHAnsi"/>
          <w:b/>
          <w:color w:val="002060"/>
          <w:szCs w:val="20"/>
        </w:rPr>
      </w:pPr>
    </w:p>
    <w:p w:rsidR="00786CB1" w:rsidRPr="00786CB1" w:rsidRDefault="00786CB1" w:rsidP="00786CB1">
      <w:pPr>
        <w:suppressAutoHyphens/>
        <w:ind w:firstLine="708"/>
        <w:jc w:val="center"/>
        <w:rPr>
          <w:rFonts w:cstheme="minorHAnsi"/>
          <w:b/>
          <w:color w:val="002060"/>
          <w:szCs w:val="20"/>
        </w:rPr>
      </w:pPr>
      <w:r w:rsidRPr="00786CB1">
        <w:rPr>
          <w:rFonts w:cstheme="minorHAnsi"/>
          <w:b/>
          <w:color w:val="002060"/>
          <w:szCs w:val="20"/>
        </w:rPr>
        <w:t>Для руководителей и заместителей руководителя, для служащих федеральных органов исполнительной власти, государственных органов исполнительной власти субъектов РФ, органов местного самоуправления. Для руководителей и сотрудников коммерческих организаций</w:t>
      </w:r>
    </w:p>
    <w:p w:rsidR="00786CB1" w:rsidRPr="00786CB1" w:rsidRDefault="00786CB1" w:rsidP="00786CB1">
      <w:pPr>
        <w:suppressAutoHyphens/>
        <w:ind w:firstLine="708"/>
        <w:jc w:val="center"/>
        <w:rPr>
          <w:rFonts w:cstheme="minorHAnsi"/>
          <w:b/>
          <w:color w:val="002060"/>
          <w:szCs w:val="20"/>
        </w:rPr>
      </w:pPr>
    </w:p>
    <w:p w:rsidR="00786CB1" w:rsidRPr="00786CB1" w:rsidRDefault="00786CB1" w:rsidP="00786CB1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786CB1">
        <w:rPr>
          <w:rFonts w:cstheme="minorHAnsi"/>
          <w:color w:val="002060"/>
          <w:szCs w:val="20"/>
        </w:rPr>
        <w:t xml:space="preserve">Развитие антимонопольного законодательства и практика его применения последних лет ознаменованы ростом числа антимонопольных разбирательств и введением оборотных штрафов и уголовной ответственности за </w:t>
      </w:r>
      <w:proofErr w:type="spellStart"/>
      <w:r w:rsidRPr="00786CB1">
        <w:rPr>
          <w:rFonts w:cstheme="minorHAnsi"/>
          <w:color w:val="002060"/>
          <w:szCs w:val="20"/>
        </w:rPr>
        <w:t>антиконкурентное</w:t>
      </w:r>
      <w:proofErr w:type="spellEnd"/>
      <w:r w:rsidRPr="00786CB1">
        <w:rPr>
          <w:rFonts w:cstheme="minorHAnsi"/>
          <w:color w:val="002060"/>
          <w:szCs w:val="20"/>
        </w:rPr>
        <w:t xml:space="preserve"> поведение.</w:t>
      </w:r>
    </w:p>
    <w:p w:rsidR="00786CB1" w:rsidRPr="00786CB1" w:rsidRDefault="00786CB1" w:rsidP="00786CB1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786CB1">
        <w:rPr>
          <w:rFonts w:cstheme="minorHAnsi"/>
          <w:color w:val="002060"/>
          <w:szCs w:val="20"/>
        </w:rPr>
        <w:t xml:space="preserve">Защититься от подобных проблем возможно с помощью внедрения антимонопольного </w:t>
      </w:r>
      <w:proofErr w:type="spellStart"/>
      <w:r w:rsidRPr="00786CB1">
        <w:rPr>
          <w:rFonts w:cstheme="minorHAnsi"/>
          <w:color w:val="002060"/>
          <w:szCs w:val="20"/>
        </w:rPr>
        <w:t>комплаенса</w:t>
      </w:r>
      <w:proofErr w:type="spellEnd"/>
      <w:r w:rsidRPr="00786CB1">
        <w:rPr>
          <w:rFonts w:cstheme="minorHAnsi"/>
          <w:color w:val="002060"/>
          <w:szCs w:val="20"/>
        </w:rPr>
        <w:t xml:space="preserve">, который представляет собой надежную корпоративную программу (политику) по соблюдению антимонопольного законодательства, направленную на предотвращение совершения антимонопольных правонарушений. </w:t>
      </w:r>
    </w:p>
    <w:p w:rsidR="00786CB1" w:rsidRPr="00786CB1" w:rsidRDefault="00786CB1" w:rsidP="00786CB1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786CB1">
        <w:rPr>
          <w:rFonts w:cstheme="minorHAnsi"/>
          <w:color w:val="002060"/>
          <w:szCs w:val="20"/>
        </w:rPr>
        <w:t>В соответствии с Указом Президента № 618 от 21.12.2017 «Об основных направлениях государственной политики по развитию конкуренции» федеральные органы в срок до 1 января 2019 г., а исполнительные органы субъектов РФ до 1 марта 2019 г. должны были принять антимонопольный комплаенс, а муниципальным образованиям рекомендовано составить так называемые карты рисков, которые помогают предупреждать нарушения на уровне этих субъектов.</w:t>
      </w:r>
    </w:p>
    <w:p w:rsidR="00786CB1" w:rsidRPr="00786CB1" w:rsidRDefault="00786CB1" w:rsidP="00786CB1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786CB1">
        <w:rPr>
          <w:rFonts w:cstheme="minorHAnsi"/>
          <w:color w:val="002060"/>
          <w:szCs w:val="20"/>
        </w:rPr>
        <w:t>Обучение позволит повысить эффективность антимонопольного регулирования, так как слушатели изучат дополнительные существенные механизмы, стимулирующие хозяйствующие субъекты. В результате ответственные лица смогут принимать меры по предупреждению нарушений антимонопольного законодательства, что обеспечит снижение рисков привлечения хозяйствующих субъектов к административной ответственности.</w:t>
      </w:r>
    </w:p>
    <w:p w:rsidR="00786CB1" w:rsidRPr="00786CB1" w:rsidRDefault="00786CB1" w:rsidP="00786CB1">
      <w:pPr>
        <w:suppressAutoHyphens/>
        <w:ind w:firstLine="708"/>
        <w:jc w:val="both"/>
        <w:rPr>
          <w:rFonts w:cstheme="minorHAnsi"/>
          <w:color w:val="002060"/>
          <w:szCs w:val="20"/>
        </w:rPr>
      </w:pPr>
      <w:r w:rsidRPr="00786CB1">
        <w:rPr>
          <w:rFonts w:cstheme="minorHAnsi"/>
          <w:color w:val="002060"/>
          <w:szCs w:val="20"/>
        </w:rPr>
        <w:t>Программа «Антимонопольный комплаенс» также рекомендована коммерческим организациям с целью снижения рисков нарушения антимонопольного законодательства.</w:t>
      </w:r>
    </w:p>
    <w:p w:rsidR="00786CB1" w:rsidRPr="00786CB1" w:rsidRDefault="00786CB1" w:rsidP="00786CB1">
      <w:pPr>
        <w:pStyle w:val="ab"/>
        <w:suppressAutoHyphens/>
        <w:jc w:val="center"/>
        <w:rPr>
          <w:rFonts w:cstheme="minorHAnsi"/>
          <w:b/>
          <w:color w:val="002060"/>
          <w:szCs w:val="20"/>
          <w:highlight w:val="yellow"/>
        </w:rPr>
      </w:pPr>
    </w:p>
    <w:p w:rsidR="00786CB1" w:rsidRDefault="00786CB1" w:rsidP="00786CB1">
      <w:pPr>
        <w:pStyle w:val="ab"/>
        <w:suppressAutoHyphens/>
        <w:jc w:val="center"/>
        <w:rPr>
          <w:rFonts w:cstheme="minorHAnsi"/>
          <w:b/>
          <w:color w:val="002060"/>
          <w:szCs w:val="20"/>
        </w:rPr>
      </w:pPr>
      <w:r>
        <w:rPr>
          <w:rFonts w:cstheme="minorHAnsi"/>
          <w:b/>
          <w:color w:val="002060"/>
          <w:szCs w:val="20"/>
        </w:rPr>
        <w:t xml:space="preserve">ПРОГРАММА </w:t>
      </w:r>
      <w:r w:rsidRPr="00786CB1">
        <w:rPr>
          <w:rFonts w:cstheme="minorHAnsi"/>
          <w:b/>
          <w:color w:val="002060"/>
          <w:szCs w:val="20"/>
        </w:rPr>
        <w:t>КУРС</w:t>
      </w:r>
      <w:r>
        <w:rPr>
          <w:rFonts w:cstheme="minorHAnsi"/>
          <w:b/>
          <w:color w:val="002060"/>
          <w:szCs w:val="20"/>
        </w:rPr>
        <w:t>А</w:t>
      </w:r>
      <w:r w:rsidRPr="00786CB1">
        <w:rPr>
          <w:rFonts w:cstheme="minorHAnsi"/>
          <w:b/>
          <w:color w:val="002060"/>
          <w:szCs w:val="20"/>
        </w:rPr>
        <w:t xml:space="preserve"> ПОВЫШЕНИЯ КВАЛИФИКАЦИИ</w:t>
      </w:r>
    </w:p>
    <w:p w:rsidR="00786CB1" w:rsidRPr="00786CB1" w:rsidRDefault="00786CB1" w:rsidP="00786CB1">
      <w:pPr>
        <w:pStyle w:val="ab"/>
        <w:suppressAutoHyphens/>
        <w:jc w:val="center"/>
        <w:rPr>
          <w:rFonts w:cstheme="minorHAnsi"/>
          <w:b/>
          <w:color w:val="002060"/>
          <w:szCs w:val="20"/>
        </w:rPr>
      </w:pPr>
    </w:p>
    <w:tbl>
      <w:tblPr>
        <w:tblStyle w:val="af0"/>
        <w:tblW w:w="9889" w:type="dxa"/>
        <w:tblLayout w:type="fixed"/>
        <w:tblLook w:val="04A0" w:firstRow="1" w:lastRow="0" w:firstColumn="1" w:lastColumn="0" w:noHBand="0" w:noVBand="1"/>
      </w:tblPr>
      <w:tblGrid>
        <w:gridCol w:w="8500"/>
        <w:gridCol w:w="1389"/>
      </w:tblGrid>
      <w:tr w:rsidR="00786CB1" w:rsidRPr="00FB6214" w:rsidTr="005558B2">
        <w:trPr>
          <w:trHeight w:val="192"/>
        </w:trPr>
        <w:tc>
          <w:tcPr>
            <w:tcW w:w="8500" w:type="dxa"/>
            <w:vAlign w:val="center"/>
          </w:tcPr>
          <w:p w:rsidR="00786CB1" w:rsidRPr="00786CB1" w:rsidRDefault="00786CB1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>ТЕМА (ДИСЦИПЛИНА, МОДУЛЬ)</w:t>
            </w:r>
          </w:p>
        </w:tc>
        <w:tc>
          <w:tcPr>
            <w:tcW w:w="1389" w:type="dxa"/>
            <w:vAlign w:val="center"/>
          </w:tcPr>
          <w:p w:rsidR="00786CB1" w:rsidRPr="00786CB1" w:rsidRDefault="00786CB1" w:rsidP="005558B2">
            <w:pPr>
              <w:suppressAutoHyphens/>
              <w:jc w:val="center"/>
              <w:rPr>
                <w:rFonts w:cstheme="minorHAnsi"/>
                <w:b/>
                <w:color w:val="002060"/>
                <w:sz w:val="22"/>
                <w:szCs w:val="20"/>
              </w:rPr>
            </w:pPr>
            <w:r w:rsidRPr="00786CB1">
              <w:rPr>
                <w:rFonts w:cstheme="minorHAnsi"/>
                <w:b/>
                <w:color w:val="002060"/>
                <w:sz w:val="22"/>
                <w:szCs w:val="20"/>
              </w:rPr>
              <w:t xml:space="preserve">Объем, </w:t>
            </w:r>
            <w:proofErr w:type="spellStart"/>
            <w:r w:rsidRPr="00786CB1">
              <w:rPr>
                <w:rFonts w:cstheme="minorHAnsi"/>
                <w:b/>
                <w:color w:val="002060"/>
                <w:sz w:val="22"/>
                <w:szCs w:val="20"/>
              </w:rPr>
              <w:t>ак.ч</w:t>
            </w:r>
            <w:proofErr w:type="spellEnd"/>
          </w:p>
        </w:tc>
      </w:tr>
      <w:tr w:rsidR="00786CB1" w:rsidRPr="00FB6214" w:rsidTr="005558B2">
        <w:trPr>
          <w:trHeight w:val="283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>1. Антимонопольное законодательство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rFonts w:cstheme="minorHAnsi"/>
                <w:b/>
                <w:color w:val="002060"/>
                <w:sz w:val="22"/>
                <w:szCs w:val="20"/>
              </w:rPr>
            </w:pPr>
            <w:r>
              <w:rPr>
                <w:rFonts w:cstheme="minorHAnsi"/>
                <w:b/>
                <w:color w:val="002060"/>
                <w:sz w:val="22"/>
                <w:szCs w:val="20"/>
              </w:rPr>
              <w:t>8</w:t>
            </w:r>
          </w:p>
        </w:tc>
      </w:tr>
      <w:tr w:rsidR="00786CB1" w:rsidRPr="00FB6214" w:rsidTr="005558B2">
        <w:trPr>
          <w:trHeight w:val="1118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f1"/>
              <w:shd w:val="clear" w:color="auto" w:fill="FFFFFF"/>
              <w:spacing w:after="210"/>
              <w:jc w:val="both"/>
              <w:textAlignment w:val="baseline"/>
              <w:rPr>
                <w:rFonts w:cstheme="minorHAnsi"/>
                <w:color w:val="002060"/>
                <w:sz w:val="22"/>
                <w:szCs w:val="20"/>
              </w:rPr>
            </w:pPr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 xml:space="preserve">Понятие антимонопольного законодательства, виды недобросовестной конкуренции. Запрет на ограничивающие конкуренцию акты, действия органов власти. Антимонопольные требования к торгам. Нарушения антимонопольного законодательства, связанные с использованием бюджетных средств и передачей муниципального имущества путем предоставления преференции. Меры антимонопольного реагирования. </w:t>
            </w:r>
            <w:proofErr w:type="spellStart"/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Антиконкурентное</w:t>
            </w:r>
            <w:proofErr w:type="spellEnd"/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 xml:space="preserve"> соглашение. Соотношение норм антимонопольного, административного и уголовного законодательства.</w:t>
            </w:r>
          </w:p>
        </w:tc>
      </w:tr>
      <w:tr w:rsidR="00786CB1" w:rsidRPr="00FB6214" w:rsidTr="005558B2">
        <w:trPr>
          <w:trHeight w:val="283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rPr>
                <w:rFonts w:cstheme="minorHAnsi"/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>2. Организация системы внутреннего обеспечения соответствия требованиям антимонопольного законодательства (антимонопольный комплаенс)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rFonts w:cstheme="minorHAnsi"/>
                <w:b/>
                <w:color w:val="002060"/>
                <w:sz w:val="22"/>
                <w:szCs w:val="20"/>
              </w:rPr>
            </w:pPr>
            <w:r>
              <w:rPr>
                <w:rFonts w:cstheme="minorHAnsi"/>
                <w:b/>
                <w:color w:val="002060"/>
                <w:sz w:val="22"/>
                <w:szCs w:val="20"/>
              </w:rPr>
              <w:t>8</w:t>
            </w:r>
          </w:p>
        </w:tc>
      </w:tr>
      <w:tr w:rsidR="00786CB1" w:rsidRPr="00FB6214" w:rsidTr="005558B2">
        <w:trPr>
          <w:trHeight w:val="717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b"/>
              <w:tabs>
                <w:tab w:val="left" w:pos="0"/>
              </w:tabs>
              <w:suppressAutoHyphens/>
              <w:ind w:left="0"/>
              <w:jc w:val="both"/>
              <w:rPr>
                <w:color w:val="002060"/>
                <w:sz w:val="22"/>
                <w:szCs w:val="20"/>
              </w:rPr>
            </w:pPr>
            <w:r w:rsidRPr="00786CB1">
              <w:rPr>
                <w:color w:val="002060"/>
                <w:sz w:val="22"/>
                <w:szCs w:val="20"/>
              </w:rPr>
              <w:t xml:space="preserve">Национальный план развития конкуренции. Цели, задачи, основные этапы внедрения. Документы, определяющие план развития конкуренции. Правовой акт об антимонопольном </w:t>
            </w:r>
            <w:proofErr w:type="spellStart"/>
            <w:r w:rsidRPr="00786CB1">
              <w:rPr>
                <w:color w:val="002060"/>
                <w:sz w:val="22"/>
                <w:szCs w:val="20"/>
              </w:rPr>
              <w:t>комплаенсе</w:t>
            </w:r>
            <w:proofErr w:type="spellEnd"/>
            <w:r w:rsidRPr="00786CB1">
              <w:rPr>
                <w:color w:val="002060"/>
                <w:sz w:val="22"/>
                <w:szCs w:val="20"/>
              </w:rPr>
              <w:t xml:space="preserve"> (структура, основные положения).</w:t>
            </w:r>
          </w:p>
        </w:tc>
      </w:tr>
      <w:tr w:rsidR="00786CB1" w:rsidRPr="00C052A4" w:rsidTr="005558B2">
        <w:trPr>
          <w:trHeight w:val="283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rPr>
                <w:rFonts w:cstheme="minorHAnsi"/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>3.  Выявление рисков нарушения антимонопольного законодательства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8</w:t>
            </w:r>
          </w:p>
        </w:tc>
      </w:tr>
      <w:tr w:rsidR="00786CB1" w:rsidRPr="00FB6214" w:rsidTr="005558B2">
        <w:trPr>
          <w:trHeight w:val="491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f1"/>
              <w:shd w:val="clear" w:color="auto" w:fill="FFFFFF"/>
              <w:spacing w:after="210"/>
              <w:jc w:val="both"/>
              <w:textAlignment w:val="baseline"/>
              <w:rPr>
                <w:rFonts w:cstheme="minorHAnsi"/>
                <w:color w:val="002060"/>
                <w:sz w:val="22"/>
                <w:szCs w:val="20"/>
              </w:rPr>
            </w:pPr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Виды рисков. Обнаружение и оценка рисков. Источники знаний о причинах и условиях возникновения рисков. Разработка «карты рисков». Управление рисками.</w:t>
            </w:r>
          </w:p>
        </w:tc>
      </w:tr>
      <w:tr w:rsidR="00786CB1" w:rsidRPr="00FB6214" w:rsidTr="005558B2">
        <w:trPr>
          <w:trHeight w:val="364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>4. Разработка «дорожной карты» снижения рисков нарушения АМЗ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6</w:t>
            </w:r>
          </w:p>
        </w:tc>
      </w:tr>
      <w:tr w:rsidR="00786CB1" w:rsidRPr="00FB6214" w:rsidTr="005558B2">
        <w:trPr>
          <w:trHeight w:val="737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f1"/>
              <w:shd w:val="clear" w:color="auto" w:fill="FFFFFF"/>
              <w:spacing w:after="210"/>
              <w:jc w:val="both"/>
              <w:textAlignment w:val="baseline"/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</w:pPr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 xml:space="preserve">Структура «дорожной карты». Основные подходы при разработке мероприятий «дорожной карты». Оценка эффективности мероприятий, реализуемых в рамках антимонопольного </w:t>
            </w:r>
            <w:proofErr w:type="spellStart"/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комплаенса</w:t>
            </w:r>
            <w:proofErr w:type="spellEnd"/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.</w:t>
            </w:r>
          </w:p>
        </w:tc>
      </w:tr>
      <w:tr w:rsidR="00786CB1" w:rsidRPr="00FB6214" w:rsidTr="005558B2">
        <w:trPr>
          <w:trHeight w:val="364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lastRenderedPageBreak/>
              <w:t xml:space="preserve">5. Практические аспекты внедрения антимонопольного </w:t>
            </w:r>
            <w:proofErr w:type="spellStart"/>
            <w:r w:rsidRPr="00786CB1">
              <w:rPr>
                <w:b/>
                <w:color w:val="002060"/>
                <w:sz w:val="22"/>
                <w:szCs w:val="20"/>
              </w:rPr>
              <w:t>комплаенса</w:t>
            </w:r>
            <w:proofErr w:type="spellEnd"/>
            <w:r w:rsidRPr="00786CB1">
              <w:rPr>
                <w:b/>
                <w:color w:val="002060"/>
                <w:sz w:val="22"/>
                <w:szCs w:val="20"/>
              </w:rPr>
              <w:t xml:space="preserve"> (лучшие практики)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4</w:t>
            </w:r>
          </w:p>
        </w:tc>
      </w:tr>
      <w:tr w:rsidR="00786CB1" w:rsidRPr="00FB6214" w:rsidTr="005558B2">
        <w:trPr>
          <w:trHeight w:val="364"/>
        </w:trPr>
        <w:tc>
          <w:tcPr>
            <w:tcW w:w="9889" w:type="dxa"/>
            <w:gridSpan w:val="2"/>
            <w:shd w:val="clear" w:color="auto" w:fill="auto"/>
            <w:vAlign w:val="center"/>
          </w:tcPr>
          <w:p w:rsidR="00786CB1" w:rsidRPr="00786CB1" w:rsidRDefault="00786CB1" w:rsidP="005558B2">
            <w:pPr>
              <w:suppressAutoHyphens/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rFonts w:eastAsiaTheme="minorHAnsi" w:cstheme="minorBidi"/>
                <w:color w:val="002060"/>
                <w:sz w:val="22"/>
                <w:szCs w:val="20"/>
              </w:rPr>
              <w:t xml:space="preserve">Внедрение культуры и политики антимонопольного </w:t>
            </w:r>
            <w:proofErr w:type="spellStart"/>
            <w:r w:rsidRPr="00786CB1">
              <w:rPr>
                <w:rFonts w:eastAsiaTheme="minorHAnsi" w:cstheme="minorBidi"/>
                <w:color w:val="002060"/>
                <w:sz w:val="22"/>
                <w:szCs w:val="20"/>
              </w:rPr>
              <w:t>комплаенса</w:t>
            </w:r>
            <w:proofErr w:type="spellEnd"/>
            <w:r w:rsidRPr="00786CB1">
              <w:rPr>
                <w:rFonts w:eastAsiaTheme="minorHAnsi" w:cstheme="minorBidi"/>
                <w:color w:val="002060"/>
                <w:sz w:val="22"/>
                <w:szCs w:val="20"/>
              </w:rPr>
              <w:t>.</w:t>
            </w:r>
          </w:p>
        </w:tc>
      </w:tr>
      <w:tr w:rsidR="00786CB1" w:rsidRPr="00FB6214" w:rsidTr="005558B2">
        <w:trPr>
          <w:trHeight w:val="364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rPr>
                <w:b/>
                <w:color w:val="002060"/>
                <w:sz w:val="22"/>
                <w:szCs w:val="20"/>
              </w:rPr>
            </w:pPr>
            <w:r w:rsidRPr="00786CB1">
              <w:rPr>
                <w:b/>
                <w:color w:val="002060"/>
                <w:sz w:val="22"/>
                <w:szCs w:val="20"/>
              </w:rPr>
              <w:t xml:space="preserve">6. Анализ актов о внедрении антимонопольного </w:t>
            </w:r>
            <w:proofErr w:type="spellStart"/>
            <w:r w:rsidRPr="00786CB1">
              <w:rPr>
                <w:b/>
                <w:color w:val="002060"/>
                <w:sz w:val="22"/>
                <w:szCs w:val="20"/>
              </w:rPr>
              <w:t>комплаенса</w:t>
            </w:r>
            <w:proofErr w:type="spellEnd"/>
            <w:r w:rsidRPr="00786CB1">
              <w:rPr>
                <w:b/>
                <w:color w:val="002060"/>
                <w:sz w:val="22"/>
                <w:szCs w:val="20"/>
              </w:rPr>
              <w:t xml:space="preserve"> на федеральном и региональном уровне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0276AA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4</w:t>
            </w:r>
          </w:p>
        </w:tc>
      </w:tr>
      <w:tr w:rsidR="00786CB1" w:rsidRPr="00FB6214" w:rsidTr="005558B2">
        <w:trPr>
          <w:trHeight w:val="312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f1"/>
              <w:shd w:val="clear" w:color="auto" w:fill="FFFFFF"/>
              <w:spacing w:after="210"/>
              <w:jc w:val="both"/>
              <w:textAlignment w:val="baseline"/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</w:pPr>
            <w:r w:rsidRPr="00786CB1"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Проблемные вопросы и практические способы их решения. Мотивация и ответственность.</w:t>
            </w:r>
          </w:p>
        </w:tc>
      </w:tr>
      <w:tr w:rsidR="00786CB1" w:rsidRPr="00786CB1" w:rsidTr="005558B2">
        <w:trPr>
          <w:trHeight w:val="364"/>
        </w:trPr>
        <w:tc>
          <w:tcPr>
            <w:tcW w:w="8500" w:type="dxa"/>
            <w:shd w:val="clear" w:color="auto" w:fill="DAEEF3" w:themeFill="accent5" w:themeFillTint="33"/>
            <w:vAlign w:val="center"/>
          </w:tcPr>
          <w:p w:rsidR="00786CB1" w:rsidRPr="00786CB1" w:rsidRDefault="00786CB1" w:rsidP="00786CB1">
            <w:pPr>
              <w:suppressAutoHyphens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7</w:t>
            </w:r>
            <w:r w:rsidRPr="00786CB1">
              <w:rPr>
                <w:b/>
                <w:color w:val="002060"/>
                <w:sz w:val="22"/>
                <w:szCs w:val="20"/>
              </w:rPr>
              <w:t xml:space="preserve">. </w:t>
            </w:r>
            <w:r>
              <w:rPr>
                <w:b/>
                <w:color w:val="002060"/>
                <w:sz w:val="22"/>
                <w:szCs w:val="20"/>
              </w:rPr>
              <w:t>Итоговая аттестация</w:t>
            </w:r>
          </w:p>
        </w:tc>
        <w:tc>
          <w:tcPr>
            <w:tcW w:w="1389" w:type="dxa"/>
            <w:shd w:val="clear" w:color="auto" w:fill="DAEEF3" w:themeFill="accent5" w:themeFillTint="33"/>
            <w:vAlign w:val="center"/>
          </w:tcPr>
          <w:p w:rsidR="00786CB1" w:rsidRPr="00786CB1" w:rsidRDefault="00786CB1" w:rsidP="005558B2">
            <w:pPr>
              <w:suppressAutoHyphens/>
              <w:jc w:val="center"/>
              <w:rPr>
                <w:b/>
                <w:color w:val="002060"/>
                <w:sz w:val="22"/>
                <w:szCs w:val="20"/>
              </w:rPr>
            </w:pPr>
            <w:r>
              <w:rPr>
                <w:b/>
                <w:color w:val="002060"/>
                <w:sz w:val="22"/>
                <w:szCs w:val="20"/>
              </w:rPr>
              <w:t>2</w:t>
            </w:r>
          </w:p>
        </w:tc>
      </w:tr>
      <w:tr w:rsidR="00786CB1" w:rsidRPr="00786CB1" w:rsidTr="005558B2">
        <w:trPr>
          <w:trHeight w:val="312"/>
        </w:trPr>
        <w:tc>
          <w:tcPr>
            <w:tcW w:w="9889" w:type="dxa"/>
            <w:gridSpan w:val="2"/>
          </w:tcPr>
          <w:p w:rsidR="00786CB1" w:rsidRPr="00786CB1" w:rsidRDefault="00786CB1" w:rsidP="005558B2">
            <w:pPr>
              <w:pStyle w:val="af1"/>
              <w:shd w:val="clear" w:color="auto" w:fill="FFFFFF"/>
              <w:spacing w:after="210"/>
              <w:jc w:val="both"/>
              <w:textAlignment w:val="baseline"/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color w:val="002060"/>
                <w:sz w:val="22"/>
                <w:szCs w:val="20"/>
                <w:lang w:eastAsia="en-US"/>
              </w:rPr>
              <w:t>Итоговое тестирование.</w:t>
            </w:r>
          </w:p>
        </w:tc>
      </w:tr>
    </w:tbl>
    <w:p w:rsidR="00786CB1" w:rsidRPr="00FB6214" w:rsidRDefault="00786CB1" w:rsidP="00786CB1">
      <w:pPr>
        <w:suppressAutoHyphens/>
        <w:ind w:right="284"/>
        <w:jc w:val="both"/>
        <w:rPr>
          <w:rFonts w:cstheme="minorHAnsi"/>
          <w:b/>
          <w:color w:val="002060"/>
        </w:rPr>
      </w:pPr>
    </w:p>
    <w:p w:rsidR="00462B1F" w:rsidRDefault="00462B1F" w:rsidP="00172BE6">
      <w:pPr>
        <w:suppressAutoHyphens/>
        <w:ind w:right="-284"/>
        <w:jc w:val="both"/>
        <w:rPr>
          <w:rFonts w:cstheme="minorHAnsi"/>
          <w:b/>
          <w:color w:val="002060"/>
        </w:rPr>
      </w:pPr>
    </w:p>
    <w:p w:rsidR="00462B1F" w:rsidRDefault="00462B1F" w:rsidP="00172BE6">
      <w:pPr>
        <w:suppressAutoHyphens/>
        <w:ind w:right="-284"/>
        <w:jc w:val="both"/>
        <w:rPr>
          <w:rFonts w:cstheme="minorHAnsi"/>
          <w:b/>
          <w:color w:val="002060"/>
        </w:rPr>
      </w:pPr>
      <w:bookmarkStart w:id="0" w:name="_GoBack"/>
      <w:bookmarkEnd w:id="0"/>
    </w:p>
    <w:sectPr w:rsidR="00462B1F" w:rsidSect="00172BE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AD2" w:rsidRDefault="00701AD2" w:rsidP="00810584">
      <w:r>
        <w:separator/>
      </w:r>
    </w:p>
  </w:endnote>
  <w:endnote w:type="continuationSeparator" w:id="0">
    <w:p w:rsidR="00701AD2" w:rsidRDefault="00701AD2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399520F6" wp14:editId="291E5183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AD2" w:rsidRDefault="00701AD2" w:rsidP="00810584">
      <w:r>
        <w:separator/>
      </w:r>
    </w:p>
  </w:footnote>
  <w:footnote w:type="continuationSeparator" w:id="0">
    <w:p w:rsidR="00701AD2" w:rsidRDefault="00701AD2" w:rsidP="00810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10678DF1" wp14:editId="6FBD18DC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276AA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2BE6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3409"/>
    <w:rsid w:val="002D4128"/>
    <w:rsid w:val="002E058B"/>
    <w:rsid w:val="002E398F"/>
    <w:rsid w:val="002F2903"/>
    <w:rsid w:val="00305495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2B1F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1AD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86CB1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439C3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1D93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936FC"/>
  <w15:docId w15:val="{FC59ED58-6F9F-4123-8318-88BB7BDE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88C8C-F7FE-40C9-A2A0-03AA823AE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6</cp:revision>
  <cp:lastPrinted>2019-11-13T00:14:00Z</cp:lastPrinted>
  <dcterms:created xsi:type="dcterms:W3CDTF">2020-04-17T04:10:00Z</dcterms:created>
  <dcterms:modified xsi:type="dcterms:W3CDTF">2020-11-25T12:00:00Z</dcterms:modified>
</cp:coreProperties>
</file>